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142" w:rsidRDefault="00337142" w:rsidP="006238F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color w:val="2E74B5" w:themeColor="accent1" w:themeShade="BF"/>
          <w:sz w:val="28"/>
          <w:szCs w:val="28"/>
        </w:rPr>
      </w:pPr>
      <w:bookmarkStart w:id="0" w:name="_GoBack"/>
      <w:bookmarkEnd w:id="0"/>
      <w:r>
        <w:rPr>
          <w:rFonts w:ascii="Arial Narrow" w:hAnsi="Arial Narrow" w:cs="Arial"/>
          <w:b/>
          <w:color w:val="2E74B5" w:themeColor="accent1" w:themeShade="BF"/>
          <w:sz w:val="28"/>
          <w:szCs w:val="28"/>
        </w:rPr>
        <w:t>Sample Family Business Protocol</w:t>
      </w:r>
    </w:p>
    <w:p w:rsidR="00ED25E6" w:rsidRDefault="00ED25E6" w:rsidP="006238F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Cs w:val="28"/>
        </w:rPr>
      </w:pPr>
    </w:p>
    <w:p w:rsidR="00071632" w:rsidRDefault="00071632" w:rsidP="006238F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szCs w:val="28"/>
        </w:rPr>
        <w:t>Kindly find below an example of Family Business Protocol</w:t>
      </w:r>
    </w:p>
    <w:p w:rsidR="00071632" w:rsidRPr="00071632" w:rsidRDefault="00071632" w:rsidP="006238F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Cs w:val="28"/>
        </w:rPr>
      </w:pPr>
    </w:p>
    <w:p w:rsidR="006238F0" w:rsidRPr="00337142" w:rsidRDefault="006238F0" w:rsidP="006238F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Cs w:val="28"/>
        </w:rPr>
      </w:pPr>
      <w:r w:rsidRPr="00337142">
        <w:rPr>
          <w:rFonts w:ascii="Arial Narrow" w:hAnsi="Arial Narrow" w:cs="Arial"/>
          <w:b/>
          <w:szCs w:val="28"/>
        </w:rPr>
        <w:t xml:space="preserve">The </w:t>
      </w:r>
      <w:proofErr w:type="spellStart"/>
      <w:r w:rsidRPr="00337142">
        <w:rPr>
          <w:rFonts w:ascii="Arial Narrow" w:hAnsi="Arial Narrow" w:cs="Arial"/>
          <w:b/>
          <w:szCs w:val="28"/>
        </w:rPr>
        <w:t>Carvajal</w:t>
      </w:r>
      <w:proofErr w:type="spellEnd"/>
      <w:r w:rsidRPr="00337142">
        <w:rPr>
          <w:rFonts w:ascii="Arial Narrow" w:hAnsi="Arial Narrow" w:cs="Arial"/>
          <w:b/>
          <w:szCs w:val="28"/>
        </w:rPr>
        <w:t xml:space="preserve"> Group Family Protocol</w:t>
      </w:r>
    </w:p>
    <w:p w:rsidR="003A5187" w:rsidRDefault="00ED25E6" w:rsidP="00ED25E6">
      <w:pPr>
        <w:rPr>
          <w:rStyle w:val="Hyperlink"/>
          <w:rFonts w:ascii="Arial Narrow" w:hAnsi="Arial Narrow" w:cs="Arial"/>
          <w:spacing w:val="4"/>
          <w:sz w:val="20"/>
          <w:szCs w:val="20"/>
          <w:shd w:val="clear" w:color="auto" w:fill="FFFFFF"/>
        </w:rPr>
      </w:pPr>
      <w:r w:rsidRPr="00ED25E6">
        <w:rPr>
          <w:rFonts w:ascii="CenturyGothic" w:hAnsi="CenturyGothic" w:cs="CenturyGothic"/>
          <w:sz w:val="16"/>
          <w:szCs w:val="16"/>
        </w:rPr>
        <w:t>Excerpts from</w:t>
      </w:r>
      <w:r w:rsidRPr="00ED25E6">
        <w:rPr>
          <w:rFonts w:ascii="Arial Narrow" w:hAnsi="Arial Narrow" w:cs="Arial"/>
          <w:color w:val="000000" w:themeColor="text1"/>
          <w:spacing w:val="4"/>
          <w:sz w:val="20"/>
          <w:szCs w:val="20"/>
          <w:shd w:val="clear" w:color="auto" w:fill="FFFFFF"/>
        </w:rPr>
        <w:t xml:space="preserve"> </w:t>
      </w:r>
      <w:hyperlink r:id="rId5" w:history="1">
        <w:r w:rsidRPr="00ED25E6">
          <w:rPr>
            <w:rStyle w:val="Hyperlink"/>
            <w:rFonts w:ascii="Arial Narrow" w:hAnsi="Arial Narrow" w:cs="Arial"/>
            <w:spacing w:val="4"/>
            <w:sz w:val="20"/>
            <w:szCs w:val="20"/>
            <w:shd w:val="clear" w:color="auto" w:fill="FFFFFF"/>
          </w:rPr>
          <w:t>IFC Family Business Governance Handbook</w:t>
        </w:r>
      </w:hyperlink>
    </w:p>
    <w:p w:rsidR="006238F0" w:rsidRDefault="006238F0" w:rsidP="00337142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 xml:space="preserve">The </w:t>
      </w:r>
      <w:proofErr w:type="spellStart"/>
      <w:r>
        <w:rPr>
          <w:rFonts w:ascii="CenturyGothic" w:hAnsi="CenturyGothic" w:cs="CenturyGothic"/>
          <w:sz w:val="16"/>
          <w:szCs w:val="16"/>
        </w:rPr>
        <w:t>Carvajal</w:t>
      </w:r>
      <w:proofErr w:type="spellEnd"/>
      <w:r>
        <w:rPr>
          <w:rFonts w:ascii="CenturyGothic" w:hAnsi="CenturyGothic" w:cs="CenturyGothic"/>
          <w:sz w:val="16"/>
          <w:szCs w:val="16"/>
        </w:rPr>
        <w:t xml:space="preserve"> Group is a leading privately-owned Colombian multinational company</w:t>
      </w:r>
      <w:r w:rsidR="00337142">
        <w:rPr>
          <w:rFonts w:ascii="CenturyGothic" w:hAnsi="CenturyGothic" w:cs="CenturyGothic"/>
          <w:sz w:val="16"/>
          <w:szCs w:val="16"/>
        </w:rPr>
        <w:t xml:space="preserve"> </w:t>
      </w:r>
      <w:r>
        <w:rPr>
          <w:rFonts w:ascii="CenturyGothic" w:hAnsi="CenturyGothic" w:cs="CenturyGothic"/>
          <w:sz w:val="16"/>
          <w:szCs w:val="16"/>
        </w:rPr>
        <w:t xml:space="preserve">with businesses in 19 countries, primarily in Latin America. The </w:t>
      </w:r>
      <w:proofErr w:type="spellStart"/>
      <w:r>
        <w:rPr>
          <w:rFonts w:ascii="CenturyGothic" w:hAnsi="CenturyGothic" w:cs="CenturyGothic"/>
          <w:sz w:val="16"/>
          <w:szCs w:val="16"/>
        </w:rPr>
        <w:t>Carvajal</w:t>
      </w:r>
      <w:proofErr w:type="spellEnd"/>
      <w:r>
        <w:rPr>
          <w:rFonts w:ascii="CenturyGothic" w:hAnsi="CenturyGothic" w:cs="CenturyGothic"/>
          <w:sz w:val="16"/>
          <w:szCs w:val="16"/>
        </w:rPr>
        <w:t xml:space="preserve"> Group</w:t>
      </w:r>
      <w:r w:rsidR="00337142">
        <w:rPr>
          <w:rFonts w:ascii="CenturyGothic" w:hAnsi="CenturyGothic" w:cs="CenturyGothic"/>
          <w:sz w:val="16"/>
          <w:szCs w:val="16"/>
        </w:rPr>
        <w:t xml:space="preserve"> </w:t>
      </w:r>
      <w:r>
        <w:rPr>
          <w:rFonts w:ascii="CenturyGothic" w:hAnsi="CenturyGothic" w:cs="CenturyGothic"/>
          <w:sz w:val="16"/>
          <w:szCs w:val="16"/>
        </w:rPr>
        <w:t>operates in 12 different sectors, the largest of which are: paper manufacturing and</w:t>
      </w:r>
      <w:r w:rsidR="00337142">
        <w:rPr>
          <w:rFonts w:ascii="CenturyGothic" w:hAnsi="CenturyGothic" w:cs="CenturyGothic"/>
          <w:sz w:val="16"/>
          <w:szCs w:val="16"/>
        </w:rPr>
        <w:t xml:space="preserve"> </w:t>
      </w:r>
      <w:r>
        <w:rPr>
          <w:rFonts w:ascii="CenturyGothic" w:hAnsi="CenturyGothic" w:cs="CenturyGothic"/>
          <w:sz w:val="16"/>
          <w:szCs w:val="16"/>
        </w:rPr>
        <w:t>conversion; school and office supplies; telephone directories; publishing and editing;</w:t>
      </w:r>
      <w:r w:rsidR="00337142">
        <w:rPr>
          <w:rFonts w:ascii="CenturyGothic" w:hAnsi="CenturyGothic" w:cs="CenturyGothic"/>
          <w:sz w:val="16"/>
          <w:szCs w:val="16"/>
        </w:rPr>
        <w:t xml:space="preserve"> </w:t>
      </w:r>
      <w:r>
        <w:rPr>
          <w:rFonts w:ascii="CenturyGothic" w:hAnsi="CenturyGothic" w:cs="CenturyGothic"/>
          <w:sz w:val="16"/>
          <w:szCs w:val="16"/>
        </w:rPr>
        <w:t>and plastic and paper packaging.</w:t>
      </w:r>
      <w:r w:rsidR="00337142">
        <w:rPr>
          <w:rFonts w:ascii="CenturyGothic" w:hAnsi="CenturyGothic" w:cs="CenturyGothic"/>
          <w:sz w:val="16"/>
          <w:szCs w:val="16"/>
        </w:rPr>
        <w:t xml:space="preserve"> </w:t>
      </w:r>
      <w:r>
        <w:rPr>
          <w:rFonts w:ascii="CenturyGothic" w:hAnsi="CenturyGothic" w:cs="CenturyGothic"/>
          <w:sz w:val="16"/>
          <w:szCs w:val="16"/>
        </w:rPr>
        <w:t xml:space="preserve">The </w:t>
      </w:r>
      <w:proofErr w:type="spellStart"/>
      <w:r>
        <w:rPr>
          <w:rFonts w:ascii="CenturyGothic" w:hAnsi="CenturyGothic" w:cs="CenturyGothic"/>
          <w:sz w:val="16"/>
          <w:szCs w:val="16"/>
        </w:rPr>
        <w:t>Carvajal</w:t>
      </w:r>
      <w:proofErr w:type="spellEnd"/>
      <w:r>
        <w:rPr>
          <w:rFonts w:ascii="CenturyGothic" w:hAnsi="CenturyGothic" w:cs="CenturyGothic"/>
          <w:sz w:val="16"/>
          <w:szCs w:val="16"/>
        </w:rPr>
        <w:t xml:space="preserve"> Group was founded in 1904 in Cali, Colombia, by Manuel </w:t>
      </w:r>
      <w:proofErr w:type="spellStart"/>
      <w:r>
        <w:rPr>
          <w:rFonts w:ascii="CenturyGothic" w:hAnsi="CenturyGothic" w:cs="CenturyGothic"/>
          <w:sz w:val="16"/>
          <w:szCs w:val="16"/>
        </w:rPr>
        <w:t>Carvajal</w:t>
      </w:r>
      <w:proofErr w:type="spellEnd"/>
      <w:r w:rsidR="00337142">
        <w:rPr>
          <w:rFonts w:ascii="CenturyGothic" w:hAnsi="CenturyGothic" w:cs="CenturyGothic"/>
          <w:sz w:val="16"/>
          <w:szCs w:val="16"/>
        </w:rPr>
        <w:t xml:space="preserve"> </w:t>
      </w:r>
      <w:r>
        <w:rPr>
          <w:rFonts w:ascii="CenturyGothic" w:hAnsi="CenturyGothic" w:cs="CenturyGothic"/>
          <w:sz w:val="16"/>
          <w:szCs w:val="16"/>
        </w:rPr>
        <w:t xml:space="preserve">Valencia who established a printing company called La </w:t>
      </w:r>
      <w:proofErr w:type="spellStart"/>
      <w:r>
        <w:rPr>
          <w:rFonts w:ascii="CenturyGothic" w:hAnsi="CenturyGothic" w:cs="CenturyGothic"/>
          <w:sz w:val="16"/>
          <w:szCs w:val="16"/>
        </w:rPr>
        <w:t>Imprenta</w:t>
      </w:r>
      <w:proofErr w:type="spellEnd"/>
      <w:r>
        <w:rPr>
          <w:rFonts w:ascii="CenturyGothic" w:hAnsi="CenturyGothic" w:cs="CenturyGothic"/>
          <w:sz w:val="16"/>
          <w:szCs w:val="16"/>
        </w:rPr>
        <w:t xml:space="preserve"> </w:t>
      </w:r>
      <w:proofErr w:type="spellStart"/>
      <w:r>
        <w:rPr>
          <w:rFonts w:ascii="CenturyGothic" w:hAnsi="CenturyGothic" w:cs="CenturyGothic"/>
          <w:sz w:val="16"/>
          <w:szCs w:val="16"/>
        </w:rPr>
        <w:t>Comercial</w:t>
      </w:r>
      <w:proofErr w:type="spellEnd"/>
      <w:r>
        <w:rPr>
          <w:rFonts w:ascii="CenturyGothic" w:hAnsi="CenturyGothic" w:cs="CenturyGothic"/>
          <w:sz w:val="16"/>
          <w:szCs w:val="16"/>
        </w:rPr>
        <w:t>. Over</w:t>
      </w:r>
      <w:r w:rsidR="00ED25E6">
        <w:rPr>
          <w:rFonts w:ascii="CenturyGothic" w:hAnsi="CenturyGothic" w:cs="CenturyGothic"/>
          <w:sz w:val="16"/>
          <w:szCs w:val="16"/>
        </w:rPr>
        <w:t xml:space="preserve"> </w:t>
      </w:r>
      <w:r>
        <w:rPr>
          <w:rFonts w:ascii="CenturyGothic" w:hAnsi="CenturyGothic" w:cs="CenturyGothic"/>
          <w:sz w:val="16"/>
          <w:szCs w:val="16"/>
        </w:rPr>
        <w:t>time, the company expanded into other businesses and regions to become one of</w:t>
      </w:r>
      <w:r w:rsidR="00337142">
        <w:rPr>
          <w:rFonts w:ascii="CenturyGothic" w:hAnsi="CenturyGothic" w:cs="CenturyGothic"/>
          <w:sz w:val="16"/>
          <w:szCs w:val="16"/>
        </w:rPr>
        <w:t xml:space="preserve"> </w:t>
      </w:r>
      <w:r>
        <w:rPr>
          <w:rFonts w:ascii="CenturyGothic" w:hAnsi="CenturyGothic" w:cs="CenturyGothic"/>
          <w:sz w:val="16"/>
          <w:szCs w:val="16"/>
        </w:rPr>
        <w:t>Latin America’s most respected multinational firms.</w:t>
      </w:r>
      <w:r w:rsidR="00ED25E6">
        <w:rPr>
          <w:rFonts w:ascii="CenturyGothic" w:hAnsi="CenturyGothic" w:cs="CenturyGothic"/>
          <w:sz w:val="16"/>
          <w:szCs w:val="16"/>
        </w:rPr>
        <w:t xml:space="preserve"> </w:t>
      </w:r>
      <w:r>
        <w:rPr>
          <w:rFonts w:ascii="CenturyGothic" w:hAnsi="CenturyGothic" w:cs="CenturyGothic"/>
          <w:sz w:val="16"/>
          <w:szCs w:val="16"/>
        </w:rPr>
        <w:t xml:space="preserve">IFC’s two investments in the </w:t>
      </w:r>
      <w:proofErr w:type="spellStart"/>
      <w:r>
        <w:rPr>
          <w:rFonts w:ascii="CenturyGothic" w:hAnsi="CenturyGothic" w:cs="CenturyGothic"/>
          <w:sz w:val="16"/>
          <w:szCs w:val="16"/>
        </w:rPr>
        <w:t>Carvajal</w:t>
      </w:r>
      <w:proofErr w:type="spellEnd"/>
      <w:r>
        <w:rPr>
          <w:rFonts w:ascii="CenturyGothic" w:hAnsi="CenturyGothic" w:cs="CenturyGothic"/>
          <w:sz w:val="16"/>
          <w:szCs w:val="16"/>
        </w:rPr>
        <w:t xml:space="preserve"> Group, in 2004 and 2006, had a purpose of</w:t>
      </w:r>
      <w:r w:rsidR="00337142">
        <w:rPr>
          <w:rFonts w:ascii="CenturyGothic" w:hAnsi="CenturyGothic" w:cs="CenturyGothic"/>
          <w:sz w:val="16"/>
          <w:szCs w:val="16"/>
        </w:rPr>
        <w:t xml:space="preserve"> </w:t>
      </w:r>
      <w:r>
        <w:rPr>
          <w:rFonts w:ascii="CenturyGothic" w:hAnsi="CenturyGothic" w:cs="CenturyGothic"/>
          <w:sz w:val="16"/>
          <w:szCs w:val="16"/>
        </w:rPr>
        <w:t>supporting the Group in its strategic and modernization plans. The most recent IFC</w:t>
      </w:r>
      <w:r w:rsidR="00337142">
        <w:rPr>
          <w:rFonts w:ascii="CenturyGothic" w:hAnsi="CenturyGothic" w:cs="CenturyGothic"/>
          <w:sz w:val="16"/>
          <w:szCs w:val="16"/>
        </w:rPr>
        <w:t xml:space="preserve"> </w:t>
      </w:r>
      <w:r>
        <w:rPr>
          <w:rFonts w:ascii="CenturyGothic" w:hAnsi="CenturyGothic" w:cs="CenturyGothic"/>
          <w:sz w:val="16"/>
          <w:szCs w:val="16"/>
        </w:rPr>
        <w:t xml:space="preserve">investment in the </w:t>
      </w:r>
      <w:proofErr w:type="spellStart"/>
      <w:r>
        <w:rPr>
          <w:rFonts w:ascii="CenturyGothic" w:hAnsi="CenturyGothic" w:cs="CenturyGothic"/>
          <w:sz w:val="16"/>
          <w:szCs w:val="16"/>
        </w:rPr>
        <w:t>Carvajal</w:t>
      </w:r>
      <w:proofErr w:type="spellEnd"/>
      <w:r>
        <w:rPr>
          <w:rFonts w:ascii="CenturyGothic" w:hAnsi="CenturyGothic" w:cs="CenturyGothic"/>
          <w:sz w:val="16"/>
          <w:szCs w:val="16"/>
        </w:rPr>
        <w:t xml:space="preserve"> Group is related to the revamping and modernization of</w:t>
      </w:r>
      <w:r w:rsidR="00337142">
        <w:rPr>
          <w:rFonts w:ascii="CenturyGothic" w:hAnsi="CenturyGothic" w:cs="CenturyGothic"/>
          <w:sz w:val="16"/>
          <w:szCs w:val="16"/>
        </w:rPr>
        <w:t xml:space="preserve"> </w:t>
      </w:r>
      <w:r>
        <w:rPr>
          <w:rFonts w:ascii="CenturyGothic" w:hAnsi="CenturyGothic" w:cs="CenturyGothic"/>
          <w:sz w:val="16"/>
          <w:szCs w:val="16"/>
        </w:rPr>
        <w:t xml:space="preserve">the Group’s information systems. IFC has also provided advice to the </w:t>
      </w:r>
      <w:proofErr w:type="spellStart"/>
      <w:r>
        <w:rPr>
          <w:rFonts w:ascii="CenturyGothic" w:hAnsi="CenturyGothic" w:cs="CenturyGothic"/>
          <w:sz w:val="16"/>
          <w:szCs w:val="16"/>
        </w:rPr>
        <w:t>Carvajal</w:t>
      </w:r>
      <w:proofErr w:type="spellEnd"/>
      <w:r w:rsidR="00337142">
        <w:rPr>
          <w:rFonts w:ascii="CenturyGothic" w:hAnsi="CenturyGothic" w:cs="CenturyGothic"/>
          <w:sz w:val="16"/>
          <w:szCs w:val="16"/>
        </w:rPr>
        <w:t xml:space="preserve"> </w:t>
      </w:r>
      <w:r>
        <w:rPr>
          <w:rFonts w:ascii="CenturyGothic" w:hAnsi="CenturyGothic" w:cs="CenturyGothic"/>
          <w:sz w:val="16"/>
          <w:szCs w:val="16"/>
        </w:rPr>
        <w:t>Group in the area of corporate governance.</w:t>
      </w:r>
    </w:p>
    <w:p w:rsidR="00337142" w:rsidRDefault="00337142" w:rsidP="00337142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hAnsi="CenturyGothic" w:cs="CenturyGothic"/>
          <w:sz w:val="16"/>
          <w:szCs w:val="16"/>
        </w:rPr>
      </w:pP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16"/>
          <w:szCs w:val="16"/>
        </w:rPr>
      </w:pPr>
      <w:r>
        <w:rPr>
          <w:rFonts w:ascii="CenturyGothic-Bold" w:hAnsi="CenturyGothic-Bold" w:cs="CenturyGothic-Bold"/>
          <w:b/>
          <w:bCs/>
          <w:sz w:val="16"/>
          <w:szCs w:val="16"/>
        </w:rPr>
        <w:t xml:space="preserve">Table of Contents of the Family Protocol of </w:t>
      </w:r>
      <w:proofErr w:type="gramStart"/>
      <w:r>
        <w:rPr>
          <w:rFonts w:ascii="CenturyGothic-Bold" w:hAnsi="CenturyGothic-Bold" w:cs="CenturyGothic-Bold"/>
          <w:b/>
          <w:bCs/>
          <w:sz w:val="16"/>
          <w:szCs w:val="16"/>
        </w:rPr>
        <w:t>The</w:t>
      </w:r>
      <w:proofErr w:type="gramEnd"/>
      <w:r>
        <w:rPr>
          <w:rFonts w:ascii="CenturyGothic-Bold" w:hAnsi="CenturyGothic-Bold" w:cs="CenturyGothic-Bold"/>
          <w:b/>
          <w:bCs/>
          <w:sz w:val="16"/>
          <w:szCs w:val="16"/>
        </w:rPr>
        <w:t xml:space="preserve"> </w:t>
      </w:r>
      <w:proofErr w:type="spellStart"/>
      <w:r>
        <w:rPr>
          <w:rFonts w:ascii="CenturyGothic-Bold" w:hAnsi="CenturyGothic-Bold" w:cs="CenturyGothic-Bold"/>
          <w:b/>
          <w:bCs/>
          <w:sz w:val="16"/>
          <w:szCs w:val="16"/>
        </w:rPr>
        <w:t>Carvajal</w:t>
      </w:r>
      <w:proofErr w:type="spellEnd"/>
      <w:r>
        <w:rPr>
          <w:rFonts w:ascii="CenturyGothic-Bold" w:hAnsi="CenturyGothic-Bold" w:cs="CenturyGothic-Bold"/>
          <w:b/>
          <w:bCs/>
          <w:sz w:val="16"/>
          <w:szCs w:val="16"/>
        </w:rPr>
        <w:t xml:space="preserve"> Group</w:t>
      </w:r>
    </w:p>
    <w:p w:rsidR="00ED25E6" w:rsidRPr="00ED25E6" w:rsidRDefault="00ED25E6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 w:rsidRPr="00ED25E6">
        <w:rPr>
          <w:rFonts w:ascii="CenturyGothic" w:hAnsi="CenturyGothic" w:cs="CenturyGothic"/>
          <w:sz w:val="16"/>
          <w:szCs w:val="16"/>
        </w:rPr>
        <w:t xml:space="preserve">Adapted and summarized from the 2002 version of the Family Protocol of The </w:t>
      </w:r>
      <w:proofErr w:type="spellStart"/>
      <w:r w:rsidRPr="00ED25E6">
        <w:rPr>
          <w:rFonts w:ascii="CenturyGothic" w:hAnsi="CenturyGothic" w:cs="CenturyGothic"/>
          <w:sz w:val="16"/>
          <w:szCs w:val="16"/>
        </w:rPr>
        <w:t>Carvajal</w:t>
      </w:r>
      <w:proofErr w:type="spellEnd"/>
      <w:r w:rsidRPr="00ED25E6">
        <w:rPr>
          <w:rFonts w:ascii="CenturyGothic" w:hAnsi="CenturyGothic" w:cs="CenturyGothic"/>
          <w:sz w:val="16"/>
          <w:szCs w:val="16"/>
        </w:rPr>
        <w:t xml:space="preserve"> Group.</w:t>
      </w:r>
    </w:p>
    <w:p w:rsidR="00ED25E6" w:rsidRDefault="00ED25E6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1"/>
          <w:szCs w:val="11"/>
        </w:rPr>
      </w:pP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16"/>
          <w:szCs w:val="16"/>
        </w:rPr>
      </w:pPr>
      <w:r>
        <w:rPr>
          <w:rFonts w:ascii="CenturyGothic-Bold" w:hAnsi="CenturyGothic-Bold" w:cs="CenturyGothic-Bold"/>
          <w:b/>
          <w:bCs/>
          <w:sz w:val="16"/>
          <w:szCs w:val="16"/>
        </w:rPr>
        <w:t>A. Objective of the Family Protocol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 xml:space="preserve">1. Integrity of the </w:t>
      </w:r>
      <w:proofErr w:type="spellStart"/>
      <w:r>
        <w:rPr>
          <w:rFonts w:ascii="CenturyGothic" w:hAnsi="CenturyGothic" w:cs="CenturyGothic"/>
          <w:sz w:val="16"/>
          <w:szCs w:val="16"/>
        </w:rPr>
        <w:t>Carvajal</w:t>
      </w:r>
      <w:proofErr w:type="spellEnd"/>
      <w:r>
        <w:rPr>
          <w:rFonts w:ascii="CenturyGothic" w:hAnsi="CenturyGothic" w:cs="CenturyGothic"/>
          <w:sz w:val="16"/>
          <w:szCs w:val="16"/>
        </w:rPr>
        <w:t xml:space="preserve"> Company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 xml:space="preserve">2. Unity of the </w:t>
      </w:r>
      <w:proofErr w:type="spellStart"/>
      <w:r>
        <w:rPr>
          <w:rFonts w:ascii="CenturyGothic" w:hAnsi="CenturyGothic" w:cs="CenturyGothic"/>
          <w:sz w:val="16"/>
          <w:szCs w:val="16"/>
        </w:rPr>
        <w:t>Carvajal</w:t>
      </w:r>
      <w:proofErr w:type="spellEnd"/>
      <w:r>
        <w:rPr>
          <w:rFonts w:ascii="CenturyGothic" w:hAnsi="CenturyGothic" w:cs="CenturyGothic"/>
          <w:sz w:val="16"/>
          <w:szCs w:val="16"/>
        </w:rPr>
        <w:t xml:space="preserve"> Family</w:t>
      </w:r>
    </w:p>
    <w:p w:rsidR="00A6220E" w:rsidRDefault="00A6220E" w:rsidP="006238F0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16"/>
          <w:szCs w:val="16"/>
        </w:rPr>
      </w:pP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16"/>
          <w:szCs w:val="16"/>
        </w:rPr>
      </w:pPr>
      <w:r>
        <w:rPr>
          <w:rFonts w:ascii="CenturyGothic-Bold" w:hAnsi="CenturyGothic-Bold" w:cs="CenturyGothic-Bold"/>
          <w:b/>
          <w:bCs/>
          <w:sz w:val="16"/>
          <w:szCs w:val="16"/>
        </w:rPr>
        <w:t>B. Family Institutions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1. Family Assembly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a. Objective of the Family Assembly</w:t>
      </w:r>
    </w:p>
    <w:p w:rsidR="00A6220E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b. Functions of the Family Assembly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2. Family Council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a. Objective of the Family Council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b. Composition of the Family Council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c. Functions of the Family Council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d. Decisions of the Family Council</w:t>
      </w:r>
    </w:p>
    <w:p w:rsidR="00A6220E" w:rsidRDefault="006238F0" w:rsidP="00A6220E">
      <w:pPr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e. Frequency of Meetings of the Family Council</w:t>
      </w:r>
    </w:p>
    <w:p w:rsidR="006238F0" w:rsidRDefault="00A6220E" w:rsidP="00A6220E">
      <w:pPr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 xml:space="preserve">3. </w:t>
      </w:r>
      <w:r w:rsidR="006238F0">
        <w:rPr>
          <w:rFonts w:ascii="CenturyGothic" w:hAnsi="CenturyGothic" w:cs="CenturyGothic"/>
          <w:sz w:val="16"/>
          <w:szCs w:val="16"/>
        </w:rPr>
        <w:t>Council for the Development of Family Members Working in the Company</w:t>
      </w:r>
    </w:p>
    <w:p w:rsidR="006238F0" w:rsidRDefault="006238F0" w:rsidP="00A6220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a. Objective of the Development Council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b. Composition of the Development Council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c. Functions of the Development Council</w:t>
      </w:r>
    </w:p>
    <w:p w:rsidR="00A6220E" w:rsidRDefault="00A6220E" w:rsidP="006238F0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16"/>
          <w:szCs w:val="16"/>
        </w:rPr>
      </w:pP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16"/>
          <w:szCs w:val="16"/>
        </w:rPr>
      </w:pPr>
      <w:r>
        <w:rPr>
          <w:rFonts w:ascii="CenturyGothic-Bold" w:hAnsi="CenturyGothic-Bold" w:cs="CenturyGothic-Bold"/>
          <w:b/>
          <w:bCs/>
          <w:sz w:val="16"/>
          <w:szCs w:val="16"/>
        </w:rPr>
        <w:t xml:space="preserve">C. The </w:t>
      </w:r>
      <w:proofErr w:type="spellStart"/>
      <w:r>
        <w:rPr>
          <w:rFonts w:ascii="CenturyGothic-Bold" w:hAnsi="CenturyGothic-Bold" w:cs="CenturyGothic-Bold"/>
          <w:b/>
          <w:bCs/>
          <w:sz w:val="16"/>
          <w:szCs w:val="16"/>
        </w:rPr>
        <w:t>Carvajal</w:t>
      </w:r>
      <w:proofErr w:type="spellEnd"/>
      <w:r>
        <w:rPr>
          <w:rFonts w:ascii="CenturyGothic-Bold" w:hAnsi="CenturyGothic-Bold" w:cs="CenturyGothic-Bold"/>
          <w:b/>
          <w:bCs/>
          <w:sz w:val="16"/>
          <w:szCs w:val="16"/>
        </w:rPr>
        <w:t xml:space="preserve"> Family Foundation (Charity Institution)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1. Objective of the Family Foundation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2. Board of the Family Foundation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3. President of the Family Foundation</w:t>
      </w:r>
    </w:p>
    <w:p w:rsidR="00A6220E" w:rsidRDefault="00A6220E" w:rsidP="006238F0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16"/>
          <w:szCs w:val="16"/>
        </w:rPr>
      </w:pP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16"/>
          <w:szCs w:val="16"/>
        </w:rPr>
      </w:pPr>
      <w:r>
        <w:rPr>
          <w:rFonts w:ascii="CenturyGothic-Bold" w:hAnsi="CenturyGothic-Bold" w:cs="CenturyGothic-Bold"/>
          <w:b/>
          <w:bCs/>
          <w:sz w:val="16"/>
          <w:szCs w:val="16"/>
        </w:rPr>
        <w:t>D. Institutions of the Company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1. Shareholders Meeting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a. Objective of the Shareholders Meeting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b. Decisions of the Shareholders Meeting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2. Board of Directors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a. Objective of the Board of Directors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b. Composition of the Board of Directors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c. Chairman of the Board of Directors</w:t>
      </w:r>
    </w:p>
    <w:p w:rsidR="00A6220E" w:rsidRDefault="00A6220E" w:rsidP="006238F0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16"/>
          <w:szCs w:val="16"/>
        </w:rPr>
      </w:pP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16"/>
          <w:szCs w:val="16"/>
        </w:rPr>
      </w:pPr>
      <w:r>
        <w:rPr>
          <w:rFonts w:ascii="CenturyGothic-Bold" w:hAnsi="CenturyGothic-Bold" w:cs="CenturyGothic-Bold"/>
          <w:b/>
          <w:bCs/>
          <w:sz w:val="16"/>
          <w:szCs w:val="16"/>
        </w:rPr>
        <w:t>E. Management of the Company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1. CEO of the Company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a. Appointment of the CEO of the Company</w:t>
      </w:r>
    </w:p>
    <w:p w:rsidR="00A6220E" w:rsidRDefault="00A6220E" w:rsidP="006238F0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16"/>
          <w:szCs w:val="16"/>
        </w:rPr>
      </w:pP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16"/>
          <w:szCs w:val="16"/>
        </w:rPr>
      </w:pPr>
      <w:r>
        <w:rPr>
          <w:rFonts w:ascii="CenturyGothic-Bold" w:hAnsi="CenturyGothic-Bold" w:cs="CenturyGothic-Bold"/>
          <w:b/>
          <w:bCs/>
          <w:sz w:val="16"/>
          <w:szCs w:val="16"/>
        </w:rPr>
        <w:t>F. Shareholding Policies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1. Sale of Shares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proofErr w:type="gramStart"/>
      <w:r>
        <w:rPr>
          <w:rFonts w:ascii="CenturyGothic" w:hAnsi="CenturyGothic" w:cs="CenturyGothic"/>
          <w:sz w:val="16"/>
          <w:szCs w:val="16"/>
        </w:rPr>
        <w:t>a</w:t>
      </w:r>
      <w:proofErr w:type="gramEnd"/>
      <w:r>
        <w:rPr>
          <w:rFonts w:ascii="CenturyGothic" w:hAnsi="CenturyGothic" w:cs="CenturyGothic"/>
          <w:sz w:val="16"/>
          <w:szCs w:val="16"/>
        </w:rPr>
        <w:t>. Right of First Refusal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b. Conditions of Sale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2. Liens on Shares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3. Issuances of Shares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4. Reserve Fund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a. Objective of the Reserve Fund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b. Board of Directors of the Reserve Fund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5. Conflicts of Interest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a. Investment in Other Companies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b. Transactions with the Company</w:t>
      </w:r>
    </w:p>
    <w:p w:rsidR="006238F0" w:rsidRDefault="006238F0" w:rsidP="006238F0">
      <w:pPr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lastRenderedPageBreak/>
        <w:t>c. Other Activities</w:t>
      </w:r>
    </w:p>
    <w:p w:rsidR="001C09C5" w:rsidRDefault="001C09C5" w:rsidP="006238F0">
      <w:pPr>
        <w:rPr>
          <w:rFonts w:ascii="CenturyGothic" w:hAnsi="CenturyGothic" w:cs="CenturyGothic"/>
          <w:sz w:val="16"/>
          <w:szCs w:val="16"/>
        </w:rPr>
      </w:pP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16"/>
          <w:szCs w:val="16"/>
        </w:rPr>
      </w:pPr>
      <w:r>
        <w:rPr>
          <w:rFonts w:ascii="CenturyGothic-Bold" w:hAnsi="CenturyGothic-Bold" w:cs="CenturyGothic-Bold"/>
          <w:b/>
          <w:bCs/>
          <w:sz w:val="16"/>
          <w:szCs w:val="16"/>
        </w:rPr>
        <w:t>G. Employment of Family Members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1. Entrance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2. Responsibilities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3. Remuneration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4. Evaluation for Development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5. Retirement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16"/>
          <w:szCs w:val="16"/>
        </w:rPr>
      </w:pPr>
      <w:r>
        <w:rPr>
          <w:rFonts w:ascii="CenturyGothic-Bold" w:hAnsi="CenturyGothic-Bold" w:cs="CenturyGothic-Bold"/>
          <w:b/>
          <w:bCs/>
          <w:sz w:val="16"/>
          <w:szCs w:val="16"/>
        </w:rPr>
        <w:t>H. Social Dividend (Subsidies for Family Members)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1. Objective of the Social Dividend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2. Components of the Social Dividend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3. Regulation of the Social Dividend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16"/>
          <w:szCs w:val="16"/>
        </w:rPr>
      </w:pPr>
      <w:r>
        <w:rPr>
          <w:rFonts w:ascii="CenturyGothic-Bold" w:hAnsi="CenturyGothic-Bold" w:cs="CenturyGothic-Bold"/>
          <w:b/>
          <w:bCs/>
          <w:sz w:val="16"/>
          <w:szCs w:val="16"/>
        </w:rPr>
        <w:t>I. Family Activities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1. Social Meetings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2. Informative Meetings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3. Communication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4. History of the Company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16"/>
          <w:szCs w:val="16"/>
        </w:rPr>
      </w:pPr>
      <w:r>
        <w:rPr>
          <w:rFonts w:ascii="CenturyGothic-Bold" w:hAnsi="CenturyGothic-Bold" w:cs="CenturyGothic-Bold"/>
          <w:b/>
          <w:bCs/>
          <w:sz w:val="16"/>
          <w:szCs w:val="16"/>
        </w:rPr>
        <w:t>J. Relations with the Public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16"/>
          <w:szCs w:val="16"/>
        </w:rPr>
      </w:pPr>
      <w:r>
        <w:rPr>
          <w:rFonts w:ascii="CenturyGothic-Bold" w:hAnsi="CenturyGothic-Bold" w:cs="CenturyGothic-Bold"/>
          <w:b/>
          <w:bCs/>
          <w:sz w:val="16"/>
          <w:szCs w:val="16"/>
        </w:rPr>
        <w:t>K. Overseer of the Family Protocol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1. Objective of the Overseer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2. Appointment of the Overseer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3. Functions of the Overseer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16"/>
          <w:szCs w:val="16"/>
        </w:rPr>
      </w:pPr>
      <w:r>
        <w:rPr>
          <w:rFonts w:ascii="CenturyGothic-Bold" w:hAnsi="CenturyGothic-Bold" w:cs="CenturyGothic-Bold"/>
          <w:b/>
          <w:bCs/>
          <w:sz w:val="16"/>
          <w:szCs w:val="16"/>
        </w:rPr>
        <w:t>L. Secretary of the Family Council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1. Objective of the Secretary of the Family Council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2. Appointment of the Secretary of the Family Council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16"/>
          <w:szCs w:val="16"/>
        </w:rPr>
      </w:pPr>
      <w:r>
        <w:rPr>
          <w:rFonts w:ascii="CenturyGothic" w:hAnsi="CenturyGothic" w:cs="CenturyGothic"/>
          <w:sz w:val="16"/>
          <w:szCs w:val="16"/>
        </w:rPr>
        <w:t>3. Functions of the Secretary of the Family Council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16"/>
          <w:szCs w:val="16"/>
        </w:rPr>
      </w:pPr>
      <w:r>
        <w:rPr>
          <w:rFonts w:ascii="CenturyGothic-Bold" w:hAnsi="CenturyGothic-Bold" w:cs="CenturyGothic-Bold"/>
          <w:b/>
          <w:bCs/>
          <w:sz w:val="16"/>
          <w:szCs w:val="16"/>
        </w:rPr>
        <w:t>M. Resolution of Conflicts</w:t>
      </w:r>
    </w:p>
    <w:p w:rsidR="006238F0" w:rsidRDefault="006238F0" w:rsidP="006238F0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16"/>
          <w:szCs w:val="16"/>
        </w:rPr>
      </w:pPr>
      <w:r>
        <w:rPr>
          <w:rFonts w:ascii="CenturyGothic-Bold" w:hAnsi="CenturyGothic-Bold" w:cs="CenturyGothic-Bold"/>
          <w:b/>
          <w:bCs/>
          <w:sz w:val="16"/>
          <w:szCs w:val="16"/>
        </w:rPr>
        <w:t>N. Updating of the Family Protocol</w:t>
      </w:r>
    </w:p>
    <w:p w:rsidR="006238F0" w:rsidRDefault="006238F0" w:rsidP="006238F0">
      <w:pPr>
        <w:rPr>
          <w:rFonts w:ascii="CenturyGothic-Bold" w:hAnsi="CenturyGothic-Bold" w:cs="CenturyGothic-Bold"/>
          <w:b/>
          <w:bCs/>
          <w:sz w:val="16"/>
          <w:szCs w:val="16"/>
        </w:rPr>
      </w:pPr>
      <w:r>
        <w:rPr>
          <w:rFonts w:ascii="CenturyGothic-Bold" w:hAnsi="CenturyGothic-Bold" w:cs="CenturyGothic-Bold"/>
          <w:b/>
          <w:bCs/>
          <w:sz w:val="16"/>
          <w:szCs w:val="16"/>
        </w:rPr>
        <w:t>O. Definitions</w:t>
      </w:r>
    </w:p>
    <w:p w:rsidR="003A5187" w:rsidRDefault="003A5187" w:rsidP="003A5187">
      <w:pPr>
        <w:spacing w:after="0" w:line="240" w:lineRule="auto"/>
        <w:rPr>
          <w:rStyle w:val="Hyperlink"/>
          <w:rFonts w:ascii="Arial Narrow" w:hAnsi="Arial Narrow" w:cs="Arial"/>
          <w:color w:val="auto"/>
          <w:spacing w:val="4"/>
          <w:sz w:val="20"/>
          <w:szCs w:val="20"/>
          <w:u w:val="none"/>
          <w:shd w:val="clear" w:color="auto" w:fill="FFFFFF"/>
        </w:rPr>
      </w:pPr>
    </w:p>
    <w:p w:rsidR="003A5187" w:rsidRDefault="003A5187" w:rsidP="006238F0"/>
    <w:sectPr w:rsidR="003A5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63470"/>
    <w:multiLevelType w:val="hybridMultilevel"/>
    <w:tmpl w:val="B0EE2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8F0"/>
    <w:rsid w:val="00071632"/>
    <w:rsid w:val="00146DBC"/>
    <w:rsid w:val="001C09C5"/>
    <w:rsid w:val="00337142"/>
    <w:rsid w:val="00376FBD"/>
    <w:rsid w:val="003A5187"/>
    <w:rsid w:val="00585906"/>
    <w:rsid w:val="006238F0"/>
    <w:rsid w:val="006C5A63"/>
    <w:rsid w:val="00A03F8A"/>
    <w:rsid w:val="00A6220E"/>
    <w:rsid w:val="00B502BD"/>
    <w:rsid w:val="00ED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2D529-E552-4E38-8622-B2ACD8ED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5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25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fc.org/wps/wcm/connect/topics_ext_content/ifc_external_corporate_site/ifc+cg/resources/toolkits+and+manuals/corporate+governance+scorecar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Awena Lebeschu</dc:creator>
  <cp:keywords/>
  <dc:description/>
  <cp:lastModifiedBy>Anna</cp:lastModifiedBy>
  <cp:revision>2</cp:revision>
  <dcterms:created xsi:type="dcterms:W3CDTF">2017-06-15T20:34:00Z</dcterms:created>
  <dcterms:modified xsi:type="dcterms:W3CDTF">2017-06-15T20:34:00Z</dcterms:modified>
</cp:coreProperties>
</file>